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ST3 Tables, charts and communication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Tables and familiar charts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frequency and two-way tables with consistent marginal totals.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interpret keyed pictograms and pie charts.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ordered stem-and-leaf and back-to-back displays with meaningful keys.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Allocate counts to exclusive Venn regions and calculate set totals.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bar, bar-line, multiple or composite displays and interpret their scales.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between counts and proportions when comparing unequal group sizes.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ST3 Tables, charts and communication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Maps, audiences and fair displays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population pyramids using matched age bands and stated denominators.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choropleth maps and evaluate rates, intervals and hidden local variation.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a representation for its data type, purpose and audience.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graphical distortions and explain how to correct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Communicate comparable data with sources, dates, units and checked software outputs.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comparative dimensions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comparative pie radii using area proportional to frequency.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distinguish linear, area and volume scaling in comparative representations.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ST3 Tables, charts and communication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