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SP6 Radioactivity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Atomic evidence and particles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atomic-model development using plum pudding, alpha scattering, nuclear structure and Bohr energy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subatomic particles and calculate atomic, mass, neutron and electron numbers, including isotopes.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typical atomic scale and the much smaller nucleus.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electron energy-level changes, radiation absorption and emission, line spectra and positive-ion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Detection and background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natural and artificial background sources and distinguish activity from detector count rate.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Geiger-Müller and film detection, subtract background and explain random count variations and longer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Nuclear radiation and changes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random nuclear decay and compare alpha, beta-minus, beta-plus, gamma and neutron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radiation ionisation, penetration, range and appropriate shielding.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mass-number and proton-number changes and balance alpha, beta, gamma and neutron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Half-life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half-life and decreasing activity while distinguishing sample predictions from individual random decays.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remaining activity and elapsed time over successive half-lives.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half-life from corrected count-rate graphs and interpret background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SP6 Radioactivity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Hazards and precautions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ionising-radiation tissue damage and compare internal alpha contamination with penetrating external radiation.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irradiation from contamination and explain time, distance, shielding, storage and medical exposure precautions.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Radiation applications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radiation selection for smoke alarms, sterilisation and thickness monitoring.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radiation hazards using half-life, activity, penetration and exposure route.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internal and external radiotherapy and explain careful dose planning.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medical tracers, positrons, PET detection and nearby tracer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Nuclear fission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nuclear energy release, uranium-235 fission and chain reactions.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moderators and control rods in a controlled reactor.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electricity generation from fission and radioactive-product management.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nuclear power using energy, emissions, cost, safety and waste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Nuclear fusion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fusion, fission and decay and explain fusion energy release.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fusion's temperature and confinement requirements and practical power-generation difficulties.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SP6 Radioactivity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