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SP15 Forces and matter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Deformation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deformation requires interacting forces and distinguish elastic from permanent deformation.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extension from total length and elastic limit from limit of proportionality.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Hooke's law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and rearrange the linear spring equation with correct force, extension and spring-constant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stiffness and proportional force-extension relationships and convert hanging masses to load forces.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Graphs and energy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force-extension graphs, calculate linear gradients and recognise axis-order effects and proportionality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non-linear elastic behaviour from inelastic deformation using unloading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elastic energy using squared extension and explain the linear-range assumption.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Determine work from force-extension area and explain why linear loading gives a triangle rather than final-force times extension.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SP15 Forces and matter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Spring practical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controlled spring loading and unloading with original-length readings, stable measurements, repeats and safe support.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best-fit graph gradients and areas to determine stiffness and work, accounting for limits and measurement uncertainty.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Fluid pressure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pressure, normal force and area with SI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atmospheric pressure changes with altitude and normal fluid-pressure forces.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liquid pressure changes with depth and density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liquid-column pressure and distinguish gauge from absolute pressure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Upthrust and floating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upthrust from pressure differences and calculate it from displaced fluid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floating, rising and sinking using weight, upthrust and average density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fluid density and immersion affect upthrust, including deeper fully submerged objects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SP15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SP15 Forces and matter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