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SP12 Magnetism and the motor effect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Magnets and fields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permanent and induced magnets and choose magnetic materials for appropriate uses.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pole interactions and why cutting a magnet does not isolate one pole.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bar-magnet and uniform fields, showing direction and strength through line spacing.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compass field mapping and compare directional information with iron-filing patterns.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compass alignment with Earth's magnetic field and evidence for a magnetic core.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Current-produced fields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evidence for current-produced magnetism and circular straight-wire fields, including current and distance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right-hand grip rule with conventional current, including dot and cross diagrams.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solenoid field addition, interior uniformity and the weaker external field.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solenoid strengthening and pole reversal and plan controlled safe electromagnet comparisons.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SP12 Magnetism and the motor effect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Motor effect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motor effect through field interaction and paired conductor-magnet forces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Fleming's left-hand rule to predict force direction and effects of reversing current or field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perpendicular maximum force and zero force for parallel current and field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Force calculations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rearrange magnetic force, flux density, current and perpendicular wire length with correct units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Electric motors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motor-coil turning forces using Fleming's left-hand rule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split-ring commutators and brushes in a continuous d.c. motor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motor reversal and stronger turning effects and explain energy transfers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SP12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SP12 Magnetism and the motor effect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