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SOC4 Crime and deviance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2 · Specification 3.5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Constructing crime and deviance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crime from deviance and explain their social construction.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Merton's strain mechanism, anomie and five adaptations.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adaptations and evaluate the limits of strain theory.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Becker's labelling and a possible deviant career.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structural, subcultural and interactionist explanations of offending.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Social control and gender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formal and informal control and their sanctions.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Heidensohn's controls at home, in public and at 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consensus, class-conflict and feminist accounts of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Explaining behaviour and social patterns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Cohen's status frustration and evaluate delinquent subculture theory.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Carlen's class and gender deals, methods and sample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application of convicted women's accounts to wider populations.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class, opportunity, white-collar and corporate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ethnicity and criminal-justice patterns without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gendered control, opportunities and the chivalry thesis.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age patterns through life stage, opportunities and detection.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SOC4 Crime and deviance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2 · Specification 3.5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Public debates and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purposes and consequences of sentencing, custody and community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debates about violence, young offenders and prison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media selection, moral panic and possible amplification.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Crime data and research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police recording and the dark figure, distinguishing underlying incidents.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victim surveys and self-report studies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rates, counts and trends using appropriate denominators.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crime sources and explain their complementary strengths and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Dated crime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dated crime estimates and qualify claims using statistical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SOC4 Crime and deviance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2 · Specification 3.5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criminal-justice and media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justice-system and offence vocabulary to distinguish institutions, procedures and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media selection, symbolic threats and forms of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conduct and religion concepts without treating social groups as homogeneous.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SOC4 Crime and deviance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