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SC4 The periodic table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Developing the table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Mendeleev's mass ordering, chemical groupings, gaps and property predictions.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later discoveries supported Mendeleev and why modern tables use atomic number.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Reading the table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periods, groups and the general positions of metals and non-metals.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main-group chemical similarities and group numbers to outer-shell electrons.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full outer shells and the group 0 exception, including helium.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Electronic arrangements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and draw electronic configurations of neutral atoms among the first 20 elements.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limits of the first-20 shell model and distinguish diagrams from real electron paths.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Predictions from arrangements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Determine an element, period and group from an electronic configuration.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increase in occupied shells down a group and related chemical behaviour.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common metal and non-metal ion charges from outer-shell electrons.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SC4 The periodic table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