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SC18 Rates of reaction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rates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suitable gas-volume, mass-loss or colour-change measurements and calculate average rates with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 graphs using gradients, tangents, changing steepness and plateaus.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Collision theory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successful collisions using activation energy and why reactions often slow as reactants are consumed.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concentration and gas-pressure effects using particle numbers and collision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surface-area and temperature effects using exposed particles, collision frequency and collision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reaction speed from final product amount, including limiting-reactant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practicals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marble-chip gas measurements with controlled conditions, sound connections, consistent timing and appropriate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mass-loss measurements, including escaping gas and the role of loose cotton wool.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the disappearing-cross investigation, controlling depth, concentration, temperature and endpoint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reciprocal time to compare cross-disappearance rates and distinguish the endpoint from reaction completion.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Catalysts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catalysts using a lower-activation-energy pathway and regeneration without changing the final complete-reaction yield.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industrial catalyst benefits and enzymes in alcoholic fermentation, including suitable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SC18 Rates of reaction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