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SB8 Exchange and transport in animals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Exchange surfaces and scale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large multicellular organisms need exchange surfaces and transport systems.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surface area-to-volume ratios and explain how size changes exchange demands.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alveolar adaptations and oxygen and carbon dioxide diffusion between air and blood.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ventilation and blood flow maintain exchange gradients, distinguishing breathing from respiration.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Blood and vessels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plasma, red blood cell and haemoglobin properties to substance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white blood cell defence and platelet roles in clotting.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artery, capillary and vein structures with their pressure, flow and exchange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artery and vein names describe direction rather than oxygen content.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Heart and circulation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blood through double circulation, naming heart chambers and major vessels.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heart valves, the septum and differences in ventricular wall thickness.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coronary blood supply and the effect of an arterial blockage on heart muscle.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cardiac output, stroke volume and heart rate, converting units where needed.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Measure pulse and interpret exercise, recovery and longer-term training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SB8 Exchange and transport in animals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Respiration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aerobic respiration equations, continuous energy transfer and uses in living cells.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aerobic respiration with anaerobic respiration in muscle and yeast.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post-exercise recovery and oxygen debt, including lactate transport and breakdown.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Respiration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respirometer measurements and the role of carbon dioxide absorbent.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fair respiration comparisons using temperature equilibration, controls, repeats and organism welfare.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gas uptake and mass-normalised respiration rates from capillary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oxygen uptake with yeast carbon dioxide measurements and interpret experimental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Diffusion and Fick's law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diffusion-rate changes using surface area, concentration gradient and membrane thickness.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Fick's proportionality to calculate relative rates and explain when a constant is needed.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SB8 Exchange and transport in animals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