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SB3 Genetics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Reproduction and chromosomes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mitosis and meiosis, including chromosome number, daughter cells and genetic variation.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haploid gametes and fertilisation restore the diploid chromosome number.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DNA and extraction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DNA nucleotides, the double helix and complementary base pairing.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relationships between chromosomes, genes, alleles and the genome.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stages of fruit DNA extraction and the roles of detergent, salt, filtration and cold ethanol.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visible extracted DNA and explain safe handling of ethanol.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Inheritance language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genotype from phenotype and homozygous from heterozygous alleles.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dominant and recessive inheritance using correctly cased allele symbols.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Genetic crosses and pedigrees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monohybrid Punnett squares from parental genotypes and possible gametes.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genotype and phenotype ratios, probabilities and expected offspring numbers.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predicted inheritance ratios are not guaranteed in small families.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pedigree symbols and infer affected, carrier and possible unaffected genotypes.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an XX/XY genetic diagram to explain sex determination and its probabilities.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SB3 Genetics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Variation and genomes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genetic and environmental variation, including the effects of multiple genes.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mutations and sexual reproduction create genetic variation and affect phenotype.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continuous and discontinuous variation and interpret suitable frequency graphs.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medical uses and limitations of Human Genome Project information.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Reproduction and inheritance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advantages and disadvantages of sexual and asexual reproduction.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Mendel's experiments, conclusions and why acceptance was delayed.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Protein synthesis and variants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DNA base order determines amino-acid sequence, protein shape and function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transcription and translation using RNA polymerase, mRNA, ribosomes and tRNA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effects of coding and non-coding DNA variants on protein production and phenotype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Multiple alleles and sex linkage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codominance and multiple alleles to predict ABO blood groups and probabilities.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X-linked recessive inheritance and calculate probabilities for sons and daughters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SB3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SB3 Genetics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