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RS8 Theme F: Religion, human rights and social justice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Rights and equality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human rights and the responsibilities that accompany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social justice.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prejudice from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Christian reason for opposing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reason for opposing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racial prejudice and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religious teaching to challenge racial exclusion.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positive action from preferential selection.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arguments about positive discrimination using equality and justice.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Religion and inclusion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freedom of religion and belief.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limits on freedom of religious expression.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arguments about equal dignity and different religious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views on women's ordination.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Buddhist arguments about women's spiritual potential.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diversity in Buddhist women's access to full ordination.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views about same-sex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Buddhist ethical approaches to same-sex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religious treatment of people in same-sex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RS8 Theme F: Religion, human rights and social justice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Wealth and poverty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Christian teaching about the right attitude to wealth.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teaching about attachment to wealth.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uses of wealth using religious teaching.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absolute and relative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personal and structural causes of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Matthew 25 to explain a responsibility to help people in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dana as a responsibility of generosity.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people with resources can tackle causes of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Exploitation and charity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exploitation through unfair pay.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James 5:4 to explain the duty to pay workers fairly.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right livelihood to explain a Buddhist objection to exploitation.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excessive interest can trap people in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people-trafficking as exploitation rather than all migration.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reasons to protect people from trafficking.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expectations that people in poverty should help themselves.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support can strengthen a person's autonomy.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emergency charity from long-term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religious motivation for charitable giving.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charity using effectiveness, accountability and dignity.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RS8 Theme F: Religion, human rights and social justice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