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RS6 Theme C: The existence of God and revelation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Design and causation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theism, atheism, agnosticism and humanism.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reasoning of the Design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Paley's watch analogy.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strength of the Design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weakness of the Design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evolution challenges an argument from biological design.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religious response to scientific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reasoning of the First Cause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strength of the First Cause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objection to exempting God from needing a cause.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proposal that existence could be a brute fact.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limits on identifying a first cause with the Christian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Miracles and suffering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argument from miracles.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wedding at Cana as an example of a claimed miracle.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strength of an argument from miracles.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testimony and alternative explanations for a miracle claim.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and non-religious interpretations of miracles.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moral and natural evil.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evil and suffering as an argument against God's existence.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RS6 Theme C: The existence of God and revelation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Miracles and suffering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free-will defence.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free-will defence's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soul-making response to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Revelation and experience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general and special revelation.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nature as general revelation.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and humanist interpretations of nature.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scripture as a source of general revelation.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Damascus road vision and its religious significance.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and non-religious explanations of visions.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enlightenment as a claimed source of knowledge about ultimate reality.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omnipotence from omniscience.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personal and impersonal understandings of the divine.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immanence from transcendence.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Christians can affirm both immanence and transcendence.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value of general revelation as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value of special revelation as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problem of conflicting accounts of the divine.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mistaken, deceptive and natural explanations of religious experience.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RS6 Theme C: The existence of God and revelation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