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RS5 Theme B: Religion and life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Origins and value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Big Bang as a scientific account of cosmic development.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literal and non-literal Christian accounts of the universe's origins.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perspective on whether creation requires a creator.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evolution through inherited variation and natural selection.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responses to evolution.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perspective on the origins of human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religious and non-religious interpretations of awe and wonder.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Environment and animals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stewardship using a Christian source.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contrasting interpretations of dominion.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reason for protecting the environment.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resource use can benefit people and harm the environment.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an example of environmental pollution.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Christian argument about animal experimentation.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argument about animal experimentation.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animal experimentation using purpose, harm and available alternatives.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contrasting Christian views about using animals for food.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diversity in Buddhist approaches to eating meat.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Dhammapada 129–130 to explain concern for animals.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RS5 Theme B: Religion and life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Religious Studies A 8062 | Paper 2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Value of human life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Christian basis for sanctity of human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reason for valuing human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quality of life from inherent human worth.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Abortion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Catholic objection to direct abortion.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some Christians permit abortion in grave circumstances.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Buddhist objection to abortion.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abortion when the mother's life is at risk.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End of life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voluntary and non-voluntary euthanasia.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euthanasia from assisted suicide.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intentional killing from palliative care or withdrawing disproportionate treatment.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Christian arguments about euthanasia.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Buddhist arguments about euthanasia.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hospice care can be an alternative to euthanasia.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 autonomy argument concerning end-of-life decisions.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safeguarding objections to euthanasia.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Christian afterlife beliefs influence attitudes to human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Buddhist rebirth beliefs influence attitudes to human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religious and non-religious reasons for valuing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RS5 Theme B: Religion and life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