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Worship and meditation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a home shrine.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a Buddhist temple.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roles of viharas and gompas.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a Buddha rupa.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flowers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lights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incense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bowing in Buddhist devotion.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puja in the home and temple.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chanting as devotion and an aid to concentration.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use of mantras and mala beads.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 of samatha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mindfulness of breathing.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 of vipassana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and methods of zazen.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tranquillity and insight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visualisation can develop compassion or wisdom.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Avalokiteshvara's connection with compassion.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Death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Theravada funeral practices.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Theravada mourning rituals express impermanence.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funeral and memorial practices in Japan.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bardo's significance in Tibetan death rituals.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sky burial without treating it as universal Tibetan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Buddhist mourning practices in Theravada, Japanese and Tibetan communities.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Wesak commemorates.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Wesak celebrations express Buddhist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Parinirvana 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Buddhists attend retreats.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Buddhist festivals in Britain today.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compassion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kamma as intentional action and its consequences.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rebirth without assuming an unchanging soul.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belief in kamma does not justify blaming or neglecting sufferers.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karuna and apply it to an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metta and its development through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compassion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5 to explain a response to hatred.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first precept to a decision about taking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second precept to a decision about taking property.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third precept to avoiding sexual harm.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fourth precept to truthful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fifth precept to avoiding heedlessness.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precepts as ethical training rather than a creator's commands.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Six Perfections.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generosity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morality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patience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energy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meditation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wisdom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specific connection between Buddhist belief and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RS4 Buddhism: practices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