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RS1 Christianity: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God and creation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Christian belief in God's omnipotence means.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a loving God influences a Christian.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what Christian belief in God's justice means.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evil and suffering challenge belief in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one God as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Father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Son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Holy Spirit within the Trinity.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Jesus' baptism to explain a source for Trinitarian belief.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Word's role in creation using John 1:1–3.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Spirit's role in creation using Genesis 1:1–3.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literal and non-literal Christian interpretations of creation.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Jesus and salvation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incarnation as God becoming human in Jesus.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scriptural source to support belief in Jesus as the Son of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influence of incarnation on a Christian's response to suffering.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crucifixion for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Jesus' example on the cross to explain Christian forgiveness.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resurrection.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significance of Jesus' ascension.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Place crucifixion, resurrection and ascension in their correct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RS1 Christianity: beliefs and teachings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Religious Studies A 8062 | Paper 1</w:t>
      </w:r>
    </w:p>
    <w:p>
      <w:r>
        <w:t>Use an explanation, source or example as evidence before choosing your confidence level. A quick quiz alone may not demonstrate the whole outcome.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Jesus and salvation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sin as separation from God's will.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original sin and differences in its interpretation.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repentance can change a person's 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Christian meaning of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God's law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grace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 of the Holy Spirit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emphases on faith and good works in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atonement as restoration of humanity's relationship with God.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explanations of Christ's saving role.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John 3:16 to explain the connection between divine love and salvation.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Christ's saving love can influence conduct.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Life after death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understandings of resurrection and life after death.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belief in resurrection can influence responses to bereavement.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Matthew 25 to explain why judgement can motivate practical care.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Christian belief in heaven.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Christian interpretations of hell.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Catholic belief in purgatory from hell.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specific link between a Christian belief and an action.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RS1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RS1 Christianity: beliefs and teachings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