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MUS4 Rhythms of the World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Music J536 | Components 1 &amp; 2 &amp; 3 · Specification 2b AoS3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Hearing tradition and interaction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Locate traditions in specific cultural settings without regional stereotypes.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Hear repeated layers, pulse, leadership and changes in density.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modern technology can change traditional presentation.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Indian classical music and Punjabi bhangra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raga, drone and melodic elaboration in Indian classical music.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tala cycles, tabla roles and measured/unmetered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Indian melodic ornament, improvisation and performer interaction.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Punjabi bhangra to dance, dhol, chaal and changing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named Indian/Punjabi examples with contextual listening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Eastern Mediterranean and Middle East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regular/additive rhythms in specific Mediterranean and Middle Eastern examples.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Greek folk resources and relate them to dance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maqam-related melodic practice and oud/qanun/darbuka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Discuss Palestinian and Israeli folk-dance contexts without conflating identities.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named examples using rhythm, instrumentation and setting.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MUS4 Rhythms of the World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Music J536 | Components 1 &amp; 2 &amp; 3 · Specification 2b AoS3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African drumming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ensemble roles, purpose and techniques in a specific African drumming tradition.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syncopation, cross-rhythm, polyrhythm and shared cycles.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calls, responses, improvisation and coordination.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named African ensemble evidence to identify actual roles and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Calypso, steel bands and samba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calypso to Trinidadian song, rhythmic features and social commentary.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steelpan sound production and ensemble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samba to Afro-Brazilian/carnival contexts and layered percussion.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samba instruments, cues and repeating patterns.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son clave from an assumed universal Latin American rhythm.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 named samba example to discuss interaction and setting.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Perform coordinated patterns, entries, responses and breaks.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MUS4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MUS4 Rhythms of the World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