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MED9 Creating media: magazine NEA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Media Studies J200 | Components 3 · Specification 2e, 3a, 3i, 4d, 4e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Interpreting and planning the brief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the live magazine brief's audience, purpose and exact production requirements.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Research conventions and develop an independent audience-focused concept.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cover, spread, assets and schedule through purposeful flatplans.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specific Statement of Intent explaining language, representation and audience choices.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Cover production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a clear cover hierarchy with coherent masthead and coverlines.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and create eligible original photographs with intentional framing and lighting.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legible typography, colour, alignment and space for the target audience.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MED9 Creating media: magazine NEA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Media Studies J200 | Components 3 · Specification 2e, 3a, 3i, 4d, 4e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Double-page spread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coherent double-page reading path with safe gutter and margins.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columns and alignment to make continuous article text readable.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 original purposeful article with truthful attribution and appropriate voice.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accurate standfirst, pull quotes and captions to support the feature.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the cover promise and spread through coherent branding and content.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Representation, refinement and submission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Review agency, inclusion, stereotyping and viewpoint in my own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Refine technical finish and communication against the brief and intended audience.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Retain my own work and evidence under current supervision and authentication rules.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exported files and submit the statement and required evidence correctly.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Demonstrate effective original media creation through the realised product and explanation.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MED9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MED9 Creating media: magazine NEA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