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MED7 Newspapers: The Observer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2 · Specification 2d Section B newspapers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Newspaper language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and study all required historical covers and contemporary print material.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newspaper layout, headline hierarchy and standfirsts.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image selection, captions and the attribution of written viewpoints.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historical and contemporary newspaper conventions with appropriate qualifications.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Historical contexts and representation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verified historical context to specific set-cover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royal sympathy and security reporting on the 30 October 1966 cover.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divorce debate and authority on the 6 November 1966 cover.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labour conflict and gender inequality on the 20 October 1968 cover.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source authority, visibility, gender and social-group representation.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political values while distinguishing reporting, commentary and attributed speech.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a matched historical/contemporary representation comparison.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MED7 Newspapers: The Observer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2 · Specification 2d Section B newspapers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Industry and ownership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historical, pre-sale and post-sale Observer ownership and assessment routes.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newspaper income, costs and changing print distribution.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editorial gatekeeping and its production constraints.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period-specific press law, standards and complaints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full-edition evidence and distinguish circulation from readership.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MED7 Newspapers: The Observer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