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MED5 Music videos: Sk8er Boi and Teenage Dirtbag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Media Studies J200 | Components 2 · Specification 2d Section A music videos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Music-video language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the selected pair and distinguish lyrics, visuals and promotional purpose.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performance, narrative, lip-sync and their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camera, editing, costume, setting and musical rhythm with located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Sk8er Boi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Sk8er Boi's street performance and constructed spontaneity.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Lavigne's agency and gender representation through several dimensions.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rebellion, authority and possible audience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identity and other audience pleasures to actual Sk8er Boi features.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Teenage Dirtbag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Teenage Dirtbag's school narrative, viewpoint and intertextual relationship.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outsider alignment, popularity and gender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fantasy and perspective qualify the narrative outcome.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band's promotional identity alongside the narrative.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MED5 Music videos: Sk8er Boi and Teenage Dirtbag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Media Studies J200 | Components 2 · Specification 2d Section A music videos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Comparison and interpretation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agency and youth belonging through paired located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relevant cultural context and possible changing audience readings.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Write a substantiated comparative judgement about representation.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MED5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MED5 Music videos: Sk8er Boi and Teenage Dirtbag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