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MED4 Music magazines: MOJO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Media Studies J200 | Components 2 · Specification 2d Section A magazines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Cover language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study the required MOJO covers and complete standard edition.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masthead, coverlines, selling lines and visual hierarchy.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house style, typography and colour using the selected issues.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portrait framing, gaze, lighting and written anchorage.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Representation and culture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editorial choices construct musical authority and authenticity.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gender, age, voice, visibility and omissions with sampled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preferred and alternative audience readings of the heritage identity.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music culture, nostalgia and social context to actual features.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Industry and readership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period-specific ownership and portfolio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sales, subscriptions, advertising and diversification.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circulation, readership and different digital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niche targeting using actual editorial and advertising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relevant publishing ethics, legal responsibilities and complaints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uses and gratifications to the actual complete edition.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MED4 Music magazines: MOJO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