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MED3 Promoting media: The Lego Movie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OCR GCSE Media Studies J200 | Components 1 · Specification 2c Section B</w:t>
      </w:r>
    </w:p>
    <w:p>
      <w:r>
        <w:t>Use actual teacher-selected issues, radio episode and news samples. Follow the certification-year live magazine brief. Quick checks do not certify extended analysis or original production.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Industry and the franchise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the specification scope of film, advertising and game products.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brand ownership, production, distribution and licensing relationships.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conglomerate resources and the potential benefits and risks of franchises.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synergy and cross-promotion across the linked products.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revenue from profit and describe funding or income sources.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Promotional language and representation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hierarchy and character positioning in identified campaign posters.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logo, title, written codes and anchorage in promotional imagery.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character agency and gender representation in the campaign.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UK television advertising-break campaign's intertextual appeal.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selection, editing and sound in the specified moving-image promotion.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MED3 Promoting media: The Lego Movie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OCR GCSE Media Studies J200 | Components 1 · Specification 2c Section B</w:t>
      </w:r>
    </w:p>
    <w:p>
      <w:r>
        <w:t>Use actual teacher-selected issues, radio episode and news samples. Follow the certification-year live magazine brief. Quick checks do not certify extended analysis or original production.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Game and audiences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game development, publishing and version-specific classification.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an actual game mechanic, objective and feedback system.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interactive adaptation and its constraints on player choices.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segmented audience appeals and uses and gratifications.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creative play and commercial branding with product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MED3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MED3 Promoting media: The Lego Movie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