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G4 Climate change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Evidence and causes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Quaternary climate changes and evaluate historical and modern climate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orbital, solar and volcanic influences on climate.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natural and enhanced greenhouse effects using incoming and outgoing radiation.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fossil fuels, agriculture and deforestation contribute to recent warming.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Effects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climate-change impacts on people, water, farming, coasts, ecosystems and frozen environments.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mitigation from adaptation and explain why both are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renewable energy, carbon capture, forests and international agreements as mitigation.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adaptations in farming, water supply, coastal protection and heat-risk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climate data and judge whether evidence supports a long-term trend.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 Climate change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