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CP4 Waves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Combined Science | Physics Paper 1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Wave behaviour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energy and information transfer without net matter transfer, using water and sound evidence.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transverse and longitudinal waves, their examples, compressions and rarefactions.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why sound needs a medium while electromagnetic waves can cross a vacuum.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Measurements and calculations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Identify wavelength, amplitude, frequency, period and wavefronts from descriptions and diagrams.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wave speed from frequency and wavelength or distance and time.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period from frequency and use appropriate units and wavelength interval counts.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Measuring wave speed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ripple-tank measurements, including frequency, several wavelengths, reflections and uncertainty.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string-wave measurements using node spacing, generator frequency and controlled tension.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sound-speed methods using microphone delays or echoes, including round-trip distance.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Refraction and materials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refraction through speed changes and draw ray directions relative to the normal.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unchanged frequency, changed wavelength and normal-incidence behaviour across a boundary.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wavelength-dependent reflection, absorption, transmission and refraction by materials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CP4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CP4 Waves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