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CC4 The periodic table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Developing the table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Mendeleev's mass ordering, chemical groupings, gaps and property predictions.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later discoveries supported Mendeleev and why modern tables use atomic number.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Reading the table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periods, groups and the general positions of metals and non-metals.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main-group chemical similarities and group numbers to outer-shell electrons.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full outer shells and the group 0 exception, including helium.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Electronic arrangements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and draw electronic configurations of neutral atoms among the first 20 elements.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limits of the first-20 shell model and distinguish diagrams from real electron paths.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Predictions from arrangements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Determine an element, period and group from an electronic configuration.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increase in occupied shells down a group and related chemical behaviour.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common metal and non-metal ion charges from outer-shell electrons.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CC4 The periodic table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