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CC16 Fuels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Chemistry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Crude oil and separation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hydrocarbons, crude oil mixtures and finite fossil resources used as fuels and petrochemical feedstocks.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fractional distillation using the temperature gradient, boiling ranges and condensation levels.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Recall main crude-oil fractions in order and link each to its uses.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chain-length effects on boiling point, viscosity and ease of ignition.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Hydrocarbon patterns and cracking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alkane homologous-series patterns and use the general formula for acyclic alkanes.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saturated alkanes and unsaturated alkenes and describe useful cracking products.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cracking conditions and demand, balance cracking equations and distinguish cracking from physical distillation.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Combustion and pollution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complete combustion equations and explain energy release and carbon dioxide 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incomplete combustion products, reduced useful energy and carbon monoxide and soot hazards.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sulfur dioxide formation, acid rain and effects on ecosystems and carbonate buildings.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high-temperature nitrogen oxide formation and compare measures for reducing different pollutants.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Fuel choices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hydrogen and petrol using storage, infrastructure, safety, energy supply and whole-life emissions.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hydrogen combustion from fuel cells and explain possible water and nitrogen oxide emissions.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CC16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CC16 Fuels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