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CC14 Rates of reaction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rates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suitable gas-volume, mass-loss or colour-change measurements and calculate average rates with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 graphs using gradients, tangents, changing steepness and plateaus.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Collision theory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successful collisions using activation energy and why reactions often slow as reactants are consumed.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concentration and gas-pressure effects using particle numbers and collision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surface-area and temperature effects using exposed particles, collision frequency and collision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reaction speed from final product amount, including limiting-reactant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practicals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marble-chip gas measurements with controlled conditions, sound connections, consistent timing and appropriate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mass-loss measurements, including escaping gas and the role of loose cotton wool.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the disappearing-cross investigation, controlling depth, concentration, temperature and endpoint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reciprocal time to compare cross-disappearance rates and distinguish the endpoint from reaction completion.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Catalysts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catalysts using a lower-activation-energy pathway and regeneration without changing the final complete-reaction yield.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industrial catalyst benefits and enzymes in alcoholic fermentation, including suitable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CC14 Rates of reaction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