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CC11 Obtaining and using metals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Reactivity and displacement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Recall the reactivity series and use water, acid and salt-solution evidence to compare metals.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reactivity through positive-ion formation and distinguish oxide barriers from underlying reactivity.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displacement reactions and describe their products and observations.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displacement as paired electron loss and gain, identifying oxidised and reduced species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Extraction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oxidation and reduction in terms of oxygen and apply them to metal extraction.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ores, native metals and extraction choices using reactivity, metal concentration and costs.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carbon reduction for iron with molten electrolysis for aluminium and explain energy requirements.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and evaluate bioleaching and phytoextraction, including subsequent metal recovery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Oxidation resistance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corrosion resistance, iron rusting conditions and aluminium's protective oxide layer.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barrier coatings and sacrificial protection and explain their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Recycling and evaluation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metal recycling using resource conservation, energy, sorting costs and environmental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life-cycle assessments for the same service, using evidence, assumptions and repeated-use calculations.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CC11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CC11 Obtaining and using metals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