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CB8 Exchange and transport in animals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Combined Science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Exchange surfaces and scale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large multicellular organisms need exchange surfaces and transport systems.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surface area-to-volume ratios and explain how size changes exchange demands.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alveolar adaptations and oxygen and carbon dioxide diffusion between air and blood.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ventilation and blood flow maintain exchange gradients, distinguishing breathing from respiration.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Blood and vessels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plasma, red blood cell and haemoglobin properties to substance transport.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white blood cell defence and platelet roles in clotting.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artery, capillary and vein structures with their pressure, flow and exchange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artery and vein names describe direction rather than oxygen content.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CB8 Exchange and transport in animals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Combined Science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Heart and circulation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blood through double circulation, naming heart chambers and major vessels.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heart valves, the septum and differences in ventricular wall thickness.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coronary blood supply and the effect of an arterial blockage on heart muscle.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rearrange cardiac output, stroke volume and heart rate, converting units where needed.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Measure pulse and interpret exercise, recovery and longer-term training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Respiration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aerobic respiration equations, continuous energy transfer and uses in living cells.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aerobic respiration with anaerobic respiration in muscle and yeast.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post-exercise recovery and oxygen debt, including lactate transport and breakdown.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Respiration investigations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respirometer measurements and the role of carbon dioxide absorbent.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fair respiration comparisons using temperature equilibration, controls, repeats and organism welfare.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gas uptake and mass-normalised respiration rates from capillary measurements.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oxygen uptake with yeast carbon dioxide measurements and interpret experimental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CB8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CB8 Exchange and transport in animals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