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CB5 Health, disease and the development of medicines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Health and disease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health and distinguish communicable diseases, non-communicable diseases and pathogens.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one disease can increase susceptibility to another.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disease-risk evidence, distinguishing correlation from causation and considering confounding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Lifestyle and cardiovascular disease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diet, exercise, smoking and alcohol interact with other disease-risk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malnutrition, nutrient deficiencies and excess energy intake.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BMI and waist-to-hip ratio using correct units and explain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narrowed coronary arteries and blood clots affect heart muscle.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lifestyle changes, statins, stents and bypass surgery using benefits, risks and long-term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Infection and transmission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pathogens, effects and transmission of cholera and tuberculosis.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ash dieback and malaria, distinguishing pathogens from vectors and explaining transmission control.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HIV and chlamydia and explain reducing sexually transmitted infections.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CB5 Health, disease and the development of medicines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Defences and immunity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physical barriers and chemical defences, including skin, mucus, cilia, lysozyme and stomach acid.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antigen recognition, specific antibodies and pathogen removal by white blood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memory lymphocytes and compare primary and secondary immune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vaccination and interpret evidence about protection and antibody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Medicines and trials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antibiotics target bacteria but not viruses and how resistance spreads.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discovery, development, preclinical testing and clinical trials of medicines.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random allocation, placebos and double-blind trials as ways to improve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medicines using efficacy, safety, dose and continuing monitoring.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CB5 Health, disease and the development of medicines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