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CB3 Genetics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Edexcel Combined Science | Biology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Reproduction and chromosomes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mitosis and meiosis, including chromosome number, daughter cells and genetic variation.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haploid gametes and fertilisation restore the diploid chromosome number.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DNA and extraction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DNA nucleotides, the double helix and complementary base pairing.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relationships between chromosomes, genes, alleles and the genome.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stages of fruit DNA extraction and the roles of detergent, salt, filtration and cold ethanol.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visible extracted DNA and explain safe handling of ethanol.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Inheritance language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genotype from phenotype and homozygous from heterozygous alleles.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dominant and recessive inheritance using correctly cased allele symbols.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CB3 Genetics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Edexcel Combined Science | Biology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Genetic crosses and pedigrees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Construct monohybrid Punnett squares from parental genotypes and possible gametes.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genotype and phenotype ratios, probabilities and expected offspring numbers.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predicted inheritance ratios are not guaranteed in small families.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pedigree symbols and infer affected, carrier and possible unaffected genotypes.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an XX/XY genetic diagram to explain sex determination and its probabilities.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Variation and genomes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genetic and environmental variation, including the effects of multiple genes.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mutations and sexual reproduction create genetic variation and affect phenotype.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continuous and discontinuous variation and interpret suitable frequency graphs.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medical uses and limitations of Human Genome Project information.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CB3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CB3 Genetics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