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BUS9 Making financial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Gross and net profit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gross and net profit or loss using the correct cost categories without double counting.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revenue, cost of sales, operating expenses and interest affect gross and net profit.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revenue, profit, profitability and available cash.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Profit margins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gross and net profit margins and interpret profit per pound of revenue.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margins across businesses or periods and explain causes of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falling margin can accompany rising total profit.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percentage-point changes from relative percentage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BUS9 Making financial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Investment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average annual profit and average rate of return from project figures.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stated project profit from returns before recovering the initial investment.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investments using ARR, affordability, return timing, risk and non-financial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Understanding performance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changes, averages and market share and interpret them in market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business graphs and charts using periods, scales, units and trends.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quantitative and qualitative evidence, recognising reliability, forecast uncertainty and correlation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performance judgements using financial evidence and longer-term service, staff and reputation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BUS9 Making financial decisions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