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BUS5 Understanding external influences on business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GCSE Edexcel Business 1BS0 | Theme 1 /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Stakeholders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stakeholder groups and distinguish stakeholders from shareholders.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stakeholders' objectives, influence and the effects of business decisions on them.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Analyse conflicts between stakeholders and justify possible compromises.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Technology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e-commerce, social media, digital communication and payment systems for sales, costs and the marketing mix.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payment-system fees and explain operational limits to technology's benefits.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Legislation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consumer protection through product quality, accurate descriptions and customer rights.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employment protection in recruitment, pay, discrimination and health and safety.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compliance costs and the consequences of meeting or breaching legal duties.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BUS5 Understanding external influences on business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GCSE Edexcel Business 1BS0 | Theme 1 /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Economic influences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unemployment and changing consumer incomes affect demand and recruitment.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inflation's effects on costs, prices and profit and calculate percentage cost changes.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interest rates and taxation affect borrowing, spending and business finances.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currency conversions and explain stronger or weaker pound effects on imports and exports.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Responding to change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responses to changes in technology, legislation and economic conditions.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Justify responses using demand, resources, capacity and short- and long-term consequences.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BUS5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BUS5 Understanding external influences on business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