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BUS3 Putting a business idea into practice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Aims and objectives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broad aims from measurable objectives.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financial and non-financial objectives and explain why priorities differ between businesses.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market share using comparable business and market sales.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Revenue costs and interest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Classify fixed and variable costs and calculate revenue, total costs and profit or loss.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higher revenue does not guarantee higher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interest amounts and percentages for the stated borrowing period.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Break-even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contribution, break-even output and break-even sales revenue using appropriate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margin of safety and interpret break-even charts, including profit and loss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price and cost changes affect break-even, including demand and model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BUS3 Putting a business idea into practice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Cash-flow planning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cash from profit and classify inflows and outflows.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net cash flow and opening and closing balances across periods.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cash-flow forecasts and justify responses to shortages, recognising forecast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 of finance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overdrafts and trade credit for short-term finance.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savings, loans, retained profit, share capital, venture capital and crowdfunding.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finance choices using purpose, duration, cost, risk and ownership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BUS3 Putting a business idea into practice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